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D2" w:rsidRPr="00BB1FD2" w:rsidRDefault="00BB1FD2" w:rsidP="00BB1FD2">
      <w:pPr>
        <w:rPr>
          <w:rFonts w:ascii="FrankRuehl" w:hAnsi="FrankRuehl" w:cs="FrankRuehl"/>
          <w:b/>
          <w:bCs/>
          <w:rtl/>
        </w:rPr>
      </w:pPr>
      <w:bookmarkStart w:id="0" w:name="_Toc90929661"/>
      <w:r w:rsidRPr="00BB1FD2">
        <w:rPr>
          <w:rFonts w:ascii="FrankRuehl" w:hAnsi="FrankRuehl" w:cs="FrankRuehl"/>
          <w:b/>
          <w:bCs/>
          <w:rtl/>
        </w:rPr>
        <w:t>טופס 6</w:t>
      </w:r>
      <w:r>
        <w:rPr>
          <w:rFonts w:ascii="FrankRuehl" w:hAnsi="FrankRuehl" w:cs="FrankRuehl" w:hint="cs"/>
          <w:b/>
          <w:bCs/>
          <w:rtl/>
        </w:rPr>
        <w:t xml:space="preserve"> א'</w:t>
      </w:r>
      <w:r w:rsidRPr="00BB1FD2">
        <w:rPr>
          <w:rFonts w:ascii="FrankRuehl" w:hAnsi="FrankRuehl" w:cs="FrankRuehl"/>
          <w:b/>
          <w:bCs/>
          <w:rtl/>
        </w:rPr>
        <w:t>: קביעת פעילויות</w:t>
      </w:r>
      <w:r w:rsidRPr="00BB1FD2">
        <w:rPr>
          <w:rFonts w:ascii="FrankRuehl" w:hAnsi="FrankRuehl" w:cs="FrankRuehl"/>
          <w:b/>
          <w:bCs/>
          <w:rtl/>
        </w:rPr>
        <w:fldChar w:fldCharType="begin"/>
      </w:r>
      <w:r w:rsidRPr="00BB1FD2">
        <w:rPr>
          <w:rFonts w:ascii="FrankRuehl" w:hAnsi="FrankRuehl" w:cs="FrankRuehl"/>
          <w:b/>
          <w:bCs/>
        </w:rPr>
        <w:instrText xml:space="preserve"> XE "</w:instrText>
      </w:r>
      <w:r w:rsidRPr="00BB1FD2">
        <w:rPr>
          <w:rFonts w:ascii="FrankRuehl" w:hAnsi="FrankRuehl" w:cs="FrankRuehl"/>
          <w:b/>
          <w:bCs/>
          <w:rtl/>
        </w:rPr>
        <w:instrText>קביעת פעילויות</w:instrText>
      </w:r>
      <w:r w:rsidRPr="00BB1FD2">
        <w:rPr>
          <w:rFonts w:ascii="FrankRuehl" w:hAnsi="FrankRuehl" w:cs="FrankRuehl"/>
          <w:b/>
          <w:bCs/>
        </w:rPr>
        <w:instrText xml:space="preserve">" </w:instrText>
      </w:r>
      <w:r w:rsidRPr="00BB1FD2">
        <w:rPr>
          <w:rFonts w:ascii="FrankRuehl" w:hAnsi="FrankRuehl" w:cs="FrankRuehl"/>
          <w:b/>
          <w:bCs/>
          <w:rtl/>
        </w:rPr>
        <w:fldChar w:fldCharType="end"/>
      </w:r>
      <w:r w:rsidRPr="00BB1FD2">
        <w:rPr>
          <w:rFonts w:ascii="FrankRuehl" w:hAnsi="FrankRuehl" w:cs="FrankRuehl"/>
          <w:b/>
          <w:bCs/>
          <w:rtl/>
        </w:rPr>
        <w:t xml:space="preserve"> וניטורן</w:t>
      </w:r>
      <w:bookmarkEnd w:id="0"/>
      <w:r w:rsidRPr="00BB1FD2">
        <w:rPr>
          <w:rFonts w:ascii="FrankRuehl" w:hAnsi="FrankRuehl" w:cs="FrankRuehl"/>
          <w:b/>
          <w:bCs/>
          <w:rtl/>
        </w:rPr>
        <w:t xml:space="preserve"> </w:t>
      </w:r>
    </w:p>
    <w:p w:rsidR="00BB1FD2" w:rsidRPr="00D01B34" w:rsidRDefault="00BB1FD2" w:rsidP="00BB1FD2">
      <w:pPr>
        <w:rPr>
          <w:rFonts w:ascii="FrankRuehl" w:hAnsi="FrankRuehl" w:cs="FrankRuehl"/>
          <w:b/>
          <w:bCs/>
        </w:rPr>
      </w:pPr>
      <w:r w:rsidRPr="00D01B34">
        <w:rPr>
          <w:rFonts w:ascii="FrankRuehl" w:hAnsi="FrankRuehl" w:cs="FrankRuehl"/>
          <w:rtl/>
        </w:rPr>
        <w:t>כתוב בטבלה פעילויות מתוכננות ויזומות לכל השבוע</w:t>
      </w:r>
      <w:bookmarkStart w:id="1" w:name="_GoBack"/>
      <w:bookmarkEnd w:id="1"/>
      <w:r w:rsidRPr="00D01B34">
        <w:rPr>
          <w:rFonts w:ascii="FrankRuehl" w:hAnsi="FrankRuehl" w:cs="FrankRuehl"/>
          <w:rtl/>
        </w:rPr>
        <w:t xml:space="preserve">. במהלך השבוע דווח אם ביצעת ומה היו דרגות ההנאה והשליטה שלך בסולם מ־0 עד־10. נסה לכתוב </w:t>
      </w:r>
      <w:proofErr w:type="spellStart"/>
      <w:r w:rsidRPr="00D01B34">
        <w:rPr>
          <w:rFonts w:ascii="FrankRuehl" w:hAnsi="FrankRuehl" w:cs="FrankRuehl"/>
          <w:rtl/>
        </w:rPr>
        <w:t>מייד</w:t>
      </w:r>
      <w:proofErr w:type="spellEnd"/>
      <w:r w:rsidRPr="00D01B34">
        <w:rPr>
          <w:rFonts w:ascii="FrankRuehl" w:hAnsi="FrankRuehl" w:cs="FrankRuehl"/>
          <w:rtl/>
        </w:rPr>
        <w:t xml:space="preserve"> לאחר הביצוע. אם לא ביצעת את ההתנהגות המתוכננת בתאריך היעד, קבע אותה ליום </w:t>
      </w:r>
      <w:proofErr w:type="spellStart"/>
      <w:r w:rsidRPr="00D01B34">
        <w:rPr>
          <w:rFonts w:ascii="FrankRuehl" w:hAnsi="FrankRuehl" w:cs="FrankRuehl"/>
          <w:rtl/>
        </w:rPr>
        <w:t>המוחרת</w:t>
      </w:r>
      <w:proofErr w:type="spellEnd"/>
      <w:r w:rsidRPr="00D01B34">
        <w:rPr>
          <w:rFonts w:ascii="FrankRuehl" w:hAnsi="FrankRuehl" w:cs="FrankRuehl"/>
          <w:rtl/>
        </w:rPr>
        <w:t xml:space="preserve"> ונסה שוב.</w:t>
      </w:r>
      <w:r w:rsidRPr="00D01B34">
        <w:rPr>
          <w:rFonts w:ascii="FrankRuehl" w:hAnsi="FrankRuehl" w:cs="FrankRuehl"/>
          <w:b/>
          <w:bCs/>
          <w:rtl/>
        </w:rPr>
        <w:t xml:space="preserve"> </w:t>
      </w:r>
      <w:r w:rsidRPr="00D01B34">
        <w:rPr>
          <w:rFonts w:ascii="FrankRuehl" w:eastAsia="Calibri" w:hAnsi="FrankRuehl" w:cs="FrankRuehl"/>
          <w:rtl/>
        </w:rPr>
        <w:t>בסוף כל יום ציין את מצב הרוח</w:t>
      </w:r>
      <w:r w:rsidRPr="00D01B34">
        <w:rPr>
          <w:rFonts w:ascii="FrankRuehl" w:eastAsia="Calibri" w:hAnsi="FrankRuehl" w:cs="FrankRuehl"/>
          <w:rtl/>
        </w:rPr>
        <w:fldChar w:fldCharType="begin"/>
      </w:r>
      <w:r w:rsidRPr="00D01B34">
        <w:rPr>
          <w:rFonts w:ascii="FrankRuehl" w:hAnsi="FrankRuehl" w:cs="FrankRuehl"/>
        </w:rPr>
        <w:instrText xml:space="preserve"> XE "</w:instrText>
      </w:r>
      <w:r w:rsidRPr="00D01B34">
        <w:rPr>
          <w:rFonts w:ascii="FrankRuehl" w:hAnsi="FrankRuehl" w:cs="FrankRuehl"/>
          <w:highlight w:val="magenta"/>
          <w:rtl/>
        </w:rPr>
        <w:instrText>מצב הרוח</w:instrText>
      </w:r>
      <w:r w:rsidRPr="00D01B34">
        <w:rPr>
          <w:rFonts w:ascii="FrankRuehl" w:hAnsi="FrankRuehl" w:cs="FrankRuehl"/>
        </w:rPr>
        <w:instrText xml:space="preserve">" </w:instrText>
      </w:r>
      <w:r w:rsidRPr="00D01B34">
        <w:rPr>
          <w:rFonts w:ascii="FrankRuehl" w:eastAsia="Calibri" w:hAnsi="FrankRuehl" w:cs="FrankRuehl"/>
          <w:rtl/>
        </w:rPr>
        <w:fldChar w:fldCharType="end"/>
      </w:r>
      <w:r w:rsidRPr="00D01B34">
        <w:rPr>
          <w:rFonts w:ascii="FrankRuehl" w:eastAsia="Calibri" w:hAnsi="FrankRuehl" w:cs="FrankRuehl"/>
          <w:rtl/>
        </w:rPr>
        <w:t xml:space="preserve"> במהלך היום כולו. דרג מ־0 עד־10. 0 משמעו מצב רוח נורא ו־10 משמעו מצב רוח מצוין. </w:t>
      </w:r>
    </w:p>
    <w:p w:rsidR="00BB1FD2" w:rsidRPr="00D01B34" w:rsidRDefault="00BB1FD2" w:rsidP="00BB1FD2">
      <w:pPr>
        <w:rPr>
          <w:rFonts w:ascii="FrankRuehl" w:eastAsia="Calibri" w:hAnsi="FrankRuehl" w:cs="FrankRuehl"/>
          <w:rtl/>
        </w:rPr>
      </w:pPr>
      <w:r w:rsidRPr="00D01B34">
        <w:rPr>
          <w:rFonts w:ascii="FrankRuehl" w:eastAsia="Calibri" w:hAnsi="FrankRuehl" w:cs="FrankRuehl"/>
          <w:rtl/>
        </w:rPr>
        <w:t xml:space="preserve">ציין פעילויות שבהן הרגשת טוב יותר. פרט. ציין פעילויות שבהן הרגשת טוב פחות. פרט. </w:t>
      </w:r>
    </w:p>
    <w:tbl>
      <w:tblPr>
        <w:bidiVisual/>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810"/>
        <w:gridCol w:w="810"/>
        <w:gridCol w:w="810"/>
        <w:gridCol w:w="810"/>
        <w:gridCol w:w="810"/>
        <w:gridCol w:w="810"/>
        <w:gridCol w:w="811"/>
      </w:tblGrid>
      <w:tr w:rsidR="00BB1FD2" w:rsidRPr="00D01B34" w:rsidTr="00FD1C25">
        <w:trPr>
          <w:cantSplit/>
          <w:trHeight w:val="237"/>
          <w:tblHeader/>
        </w:trPr>
        <w:tc>
          <w:tcPr>
            <w:tcW w:w="3605" w:type="dxa"/>
            <w:shd w:val="clear" w:color="auto" w:fill="BFBFBF" w:themeFill="background1" w:themeFillShade="BF"/>
          </w:tcPr>
          <w:p w:rsidR="00BB1FD2" w:rsidRPr="00D01B34" w:rsidRDefault="00BB1FD2" w:rsidP="00354A4D">
            <w:pPr>
              <w:spacing w:after="120" w:line="240" w:lineRule="auto"/>
              <w:jc w:val="left"/>
              <w:rPr>
                <w:rFonts w:ascii="FrankRuehl" w:eastAsia="Calibri" w:hAnsi="FrankRuehl" w:cs="FrankRuehl"/>
                <w:b/>
                <w:bCs/>
                <w:rtl/>
              </w:rPr>
            </w:pPr>
            <w:r w:rsidRPr="00D01B34">
              <w:rPr>
                <w:rFonts w:ascii="FrankRuehl" w:eastAsia="Calibri" w:hAnsi="FrankRuehl" w:cs="FrankRuehl"/>
                <w:b/>
                <w:bCs/>
                <w:color w:val="auto"/>
                <w:sz w:val="22"/>
                <w:szCs w:val="22"/>
                <w:rtl/>
              </w:rPr>
              <w:t>רשימת פעילויות</w:t>
            </w:r>
            <w:r w:rsidRPr="00D01B34">
              <w:rPr>
                <w:rFonts w:ascii="FrankRuehl" w:eastAsia="Calibri" w:hAnsi="FrankRuehl" w:cs="FrankRuehl"/>
                <w:b/>
                <w:bCs/>
                <w:rtl/>
              </w:rPr>
              <w:t xml:space="preserve"> </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יום א</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ב</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ג</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ד</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ה</w:t>
            </w:r>
          </w:p>
        </w:tc>
        <w:tc>
          <w:tcPr>
            <w:tcW w:w="810"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ו</w:t>
            </w:r>
          </w:p>
        </w:tc>
        <w:tc>
          <w:tcPr>
            <w:tcW w:w="811" w:type="dxa"/>
            <w:shd w:val="clear" w:color="auto" w:fill="BFBFBF" w:themeFill="background1" w:themeFillShade="BF"/>
          </w:tcPr>
          <w:p w:rsidR="00BB1FD2" w:rsidRPr="00D01B34" w:rsidRDefault="00BB1FD2" w:rsidP="00FD1C25">
            <w:pPr>
              <w:spacing w:after="120" w:line="240" w:lineRule="auto"/>
              <w:jc w:val="left"/>
              <w:rPr>
                <w:rFonts w:ascii="FrankRuehl" w:eastAsia="Calibri" w:hAnsi="FrankRuehl" w:cs="FrankRuehl"/>
                <w:b/>
                <w:bCs/>
                <w:color w:val="auto"/>
                <w:rtl/>
              </w:rPr>
            </w:pPr>
            <w:r w:rsidRPr="00D01B34">
              <w:rPr>
                <w:rFonts w:ascii="FrankRuehl" w:eastAsia="Calibri" w:hAnsi="FrankRuehl" w:cs="FrankRuehl"/>
                <w:b/>
                <w:bCs/>
                <w:color w:val="auto"/>
                <w:sz w:val="22"/>
                <w:szCs w:val="22"/>
                <w:rtl/>
              </w:rPr>
              <w:t>שבת</w:t>
            </w:r>
          </w:p>
        </w:tc>
      </w:tr>
      <w:tr w:rsidR="00BB1FD2" w:rsidRPr="00D01B34" w:rsidTr="00FD1C25">
        <w:trPr>
          <w:cantSplit/>
        </w:trPr>
        <w:tc>
          <w:tcPr>
            <w:tcW w:w="3605" w:type="dxa"/>
          </w:tcPr>
          <w:p w:rsidR="00BB1FD2" w:rsidRPr="00D01B34" w:rsidRDefault="00BB1FD2" w:rsidP="00354A4D">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r w:rsidRPr="00D01B34">
              <w:rPr>
                <w:rFonts w:ascii="FrankRuehl" w:eastAsia="Calibri" w:hAnsi="FrankRuehl" w:cs="FrankRuehl"/>
                <w:color w:val="auto"/>
                <w:rtl/>
              </w:rPr>
              <w:t>ה־</w:t>
            </w:r>
          </w:p>
          <w:p w:rsidR="00BB1FD2" w:rsidRPr="00D01B34" w:rsidRDefault="00BB1FD2" w:rsidP="00FD1C25">
            <w:pPr>
              <w:spacing w:after="120" w:line="240" w:lineRule="auto"/>
              <w:jc w:val="left"/>
              <w:rPr>
                <w:rFonts w:ascii="FrankRuehl" w:eastAsia="Calibri" w:hAnsi="FrankRuehl" w:cs="FrankRuehl"/>
                <w:color w:val="auto"/>
                <w:rtl/>
              </w:rPr>
            </w:pPr>
            <w:r w:rsidRPr="00D01B34">
              <w:rPr>
                <w:rFonts w:ascii="FrankRuehl" w:eastAsia="Calibri" w:hAnsi="FrankRuehl" w:cs="FrankRuehl"/>
                <w:color w:val="auto"/>
                <w:rtl/>
              </w:rPr>
              <w:t>ש־</w:t>
            </w: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Pr>
        <w:tc>
          <w:tcPr>
            <w:tcW w:w="3605" w:type="dxa"/>
          </w:tcPr>
          <w:p w:rsidR="00BB1FD2" w:rsidRPr="00D01B34" w:rsidRDefault="00BB1FD2" w:rsidP="00FD1C25">
            <w:pPr>
              <w:spacing w:after="120" w:line="240" w:lineRule="auto"/>
              <w:jc w:val="left"/>
              <w:rPr>
                <w:rFonts w:ascii="FrankRuehl" w:eastAsia="Calibri" w:hAnsi="FrankRuehl" w:cs="FrankRuehl"/>
                <w:color w:val="auto"/>
                <w:sz w:val="22"/>
                <w:szCs w:val="22"/>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Height w:val="882"/>
        </w:trPr>
        <w:tc>
          <w:tcPr>
            <w:tcW w:w="3605" w:type="dxa"/>
          </w:tcPr>
          <w:p w:rsidR="00BB1FD2" w:rsidRPr="00D01B34" w:rsidRDefault="00354A4D" w:rsidP="00FD1C25">
            <w:pPr>
              <w:spacing w:after="120" w:line="240" w:lineRule="auto"/>
              <w:jc w:val="left"/>
              <w:rPr>
                <w:rFonts w:ascii="FrankRuehl" w:eastAsia="Calibri" w:hAnsi="FrankRuehl" w:cs="FrankRuehl"/>
                <w:color w:val="auto"/>
                <w:sz w:val="22"/>
                <w:szCs w:val="22"/>
                <w:rtl/>
              </w:rPr>
            </w:pPr>
            <w:r w:rsidRPr="00D01B34">
              <w:rPr>
                <w:rFonts w:ascii="FrankRuehl" w:eastAsia="Calibri" w:hAnsi="FrankRuehl" w:cs="FrankRuehl"/>
                <w:color w:val="auto"/>
                <w:sz w:val="22"/>
                <w:szCs w:val="22"/>
                <w:rtl/>
              </w:rPr>
              <w:t>האם יש פעילויות שהרגשת בהן טוב פחות? פרט.</w:t>
            </w: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r w:rsidR="00BB1FD2" w:rsidRPr="00D01B34" w:rsidTr="00FD1C25">
        <w:trPr>
          <w:cantSplit/>
          <w:trHeight w:val="838"/>
        </w:trPr>
        <w:tc>
          <w:tcPr>
            <w:tcW w:w="3605" w:type="dxa"/>
          </w:tcPr>
          <w:p w:rsidR="00BB1FD2" w:rsidRPr="00D01B34" w:rsidRDefault="00354A4D" w:rsidP="00354A4D">
            <w:pPr>
              <w:spacing w:after="120" w:line="240" w:lineRule="auto"/>
              <w:jc w:val="left"/>
              <w:rPr>
                <w:rFonts w:ascii="FrankRuehl" w:eastAsia="Calibri" w:hAnsi="FrankRuehl" w:cs="FrankRuehl"/>
                <w:color w:val="auto"/>
                <w:sz w:val="22"/>
                <w:szCs w:val="22"/>
                <w:rtl/>
              </w:rPr>
            </w:pPr>
            <w:r w:rsidRPr="00D01B34">
              <w:rPr>
                <w:rFonts w:ascii="FrankRuehl" w:eastAsia="Calibri" w:hAnsi="FrankRuehl" w:cs="FrankRuehl"/>
                <w:color w:val="auto"/>
                <w:sz w:val="22"/>
                <w:szCs w:val="22"/>
                <w:rtl/>
              </w:rPr>
              <w:t>האם יש פעילויות שהרגשת בהן טוב יותר? פרט.</w:t>
            </w: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0" w:type="dxa"/>
          </w:tcPr>
          <w:p w:rsidR="00BB1FD2" w:rsidRPr="00D01B34" w:rsidRDefault="00BB1FD2" w:rsidP="00FD1C25">
            <w:pPr>
              <w:spacing w:after="120" w:line="240" w:lineRule="auto"/>
              <w:jc w:val="left"/>
              <w:rPr>
                <w:rFonts w:ascii="FrankRuehl" w:eastAsia="Calibri" w:hAnsi="FrankRuehl" w:cs="FrankRuehl"/>
                <w:color w:val="auto"/>
                <w:rtl/>
              </w:rPr>
            </w:pPr>
          </w:p>
        </w:tc>
        <w:tc>
          <w:tcPr>
            <w:tcW w:w="811" w:type="dxa"/>
          </w:tcPr>
          <w:p w:rsidR="00BB1FD2" w:rsidRPr="00D01B34" w:rsidRDefault="00BB1FD2" w:rsidP="00FD1C25">
            <w:pPr>
              <w:spacing w:after="120" w:line="240" w:lineRule="auto"/>
              <w:jc w:val="left"/>
              <w:rPr>
                <w:rFonts w:ascii="FrankRuehl" w:eastAsia="Calibri" w:hAnsi="FrankRuehl" w:cs="FrankRuehl"/>
                <w:color w:val="auto"/>
                <w:rtl/>
              </w:rPr>
            </w:pPr>
          </w:p>
        </w:tc>
      </w:tr>
    </w:tbl>
    <w:p w:rsidR="00BB1FD2" w:rsidRPr="008C1AE1" w:rsidRDefault="00BB1FD2" w:rsidP="00BB1FD2">
      <w:pPr>
        <w:shd w:val="clear" w:color="auto" w:fill="BFBFBF" w:themeFill="background1" w:themeFillShade="BF"/>
        <w:spacing w:line="254" w:lineRule="auto"/>
        <w:rPr>
          <w:rFonts w:ascii="Narkisim" w:eastAsia="Calibri" w:hAnsi="Narkisim" w:cs="Narkisim"/>
          <w:sz w:val="20"/>
          <w:szCs w:val="20"/>
          <w:rtl/>
        </w:rPr>
      </w:pPr>
      <w:r w:rsidRPr="008C1AE1">
        <w:rPr>
          <w:rFonts w:ascii="Narkisim" w:eastAsia="Calibri" w:hAnsi="Narkisim" w:cs="Narkisim" w:hint="cs"/>
          <w:sz w:val="20"/>
          <w:szCs w:val="20"/>
          <w:rtl/>
        </w:rPr>
        <w:t xml:space="preserve">מתוך </w:t>
      </w:r>
      <w:r w:rsidRPr="008C1AE1">
        <w:rPr>
          <w:rFonts w:ascii="Narkisim" w:eastAsia="Calibri" w:hAnsi="Narkisim" w:cs="Narkisim"/>
          <w:sz w:val="20"/>
          <w:szCs w:val="20"/>
          <w:rtl/>
        </w:rPr>
        <w:t>"</w:t>
      </w:r>
      <w:r>
        <w:rPr>
          <w:rFonts w:ascii="Narkisim" w:eastAsia="Calibri" w:hAnsi="Narkisim" w:cs="Narkisim" w:hint="cs"/>
          <w:sz w:val="20"/>
          <w:szCs w:val="20"/>
          <w:rtl/>
        </w:rPr>
        <w:t>מטפלים ב</w:t>
      </w:r>
      <w:r>
        <w:rPr>
          <w:rFonts w:ascii="Narkisim" w:eastAsia="Calibri" w:hAnsi="Narkisim" w:cs="Narkisim"/>
          <w:sz w:val="20"/>
          <w:szCs w:val="20"/>
          <w:rtl/>
        </w:rPr>
        <w:t>דיכאון</w:t>
      </w:r>
      <w:r w:rsidRPr="008C1AE1">
        <w:rPr>
          <w:rFonts w:ascii="Narkisim" w:eastAsia="Calibri" w:hAnsi="Narkisim" w:cs="Narkisim" w:hint="cs"/>
          <w:sz w:val="20"/>
          <w:szCs w:val="20"/>
          <w:rtl/>
        </w:rPr>
        <w:t>"</w:t>
      </w:r>
      <w:r>
        <w:rPr>
          <w:rFonts w:ascii="Narkisim" w:eastAsia="Calibri" w:hAnsi="Narkisim" w:cs="Narkisim" w:hint="cs"/>
          <w:sz w:val="20"/>
          <w:szCs w:val="20"/>
          <w:rtl/>
        </w:rPr>
        <w:t xml:space="preserve"> בסדרת </w:t>
      </w:r>
      <w:r w:rsidRPr="008C1AE1">
        <w:rPr>
          <w:rFonts w:ascii="Narkisim" w:eastAsia="Calibri" w:hAnsi="Narkisim" w:cs="Narkisim" w:hint="cs"/>
          <w:sz w:val="20"/>
          <w:szCs w:val="20"/>
          <w:rtl/>
        </w:rPr>
        <w:t xml:space="preserve">"צעד צעד | טיפול </w:t>
      </w:r>
      <w:proofErr w:type="spellStart"/>
      <w:r w:rsidRPr="008C1AE1">
        <w:rPr>
          <w:rFonts w:ascii="Narkisim" w:eastAsia="Calibri" w:hAnsi="Narkisim" w:cs="Narkisim" w:hint="cs"/>
          <w:sz w:val="20"/>
          <w:szCs w:val="20"/>
          <w:rtl/>
        </w:rPr>
        <w:t>התנהגותי־קוגניטיבי</w:t>
      </w:r>
      <w:proofErr w:type="spellEnd"/>
      <w:r w:rsidRPr="008C1AE1">
        <w:rPr>
          <w:rFonts w:ascii="Narkisim" w:eastAsia="Calibri" w:hAnsi="Narkisim" w:cs="Narkisim" w:hint="cs"/>
          <w:sz w:val="20"/>
          <w:szCs w:val="20"/>
          <w:rtl/>
        </w:rPr>
        <w:t xml:space="preserve">". </w:t>
      </w:r>
      <w:r w:rsidRPr="008C1AE1">
        <w:rPr>
          <w:rFonts w:ascii="Narkisim" w:eastAsia="Calibri" w:hAnsi="Narkisim" w:cs="Narkisim"/>
          <w:sz w:val="20"/>
          <w:szCs w:val="20"/>
          <w:rtl/>
        </w:rPr>
        <w:t>כל הזכויות שמורות ל</w:t>
      </w:r>
      <w:r w:rsidRPr="008C1AE1">
        <w:rPr>
          <w:rFonts w:ascii="Narkisim" w:eastAsia="Calibri" w:hAnsi="Narkisim" w:cs="Narkisim" w:hint="cs"/>
          <w:sz w:val="20"/>
          <w:szCs w:val="20"/>
          <w:rtl/>
        </w:rPr>
        <w:t xml:space="preserve">ד"ר </w:t>
      </w:r>
      <w:r w:rsidRPr="008C1AE1">
        <w:rPr>
          <w:rFonts w:ascii="Narkisim" w:eastAsia="Calibri" w:hAnsi="Narkisim" w:cs="Narkisim"/>
          <w:sz w:val="20"/>
          <w:szCs w:val="20"/>
          <w:rtl/>
        </w:rPr>
        <w:t>אריאל חן. שימוש מסחרי מכל סוג שהוא בחומר הכלול בספר זה אסור בהחלט. ניתנת רשות לצלם או להדפיס את חוברת העובדה למטופל לצורכי טיפול בשימוש סביר והוגן ובלבד שיוזכר שם הספר ושם המחבר. </w:t>
      </w:r>
    </w:p>
    <w:p w:rsidR="00BB1FD2" w:rsidRPr="00D01B34" w:rsidRDefault="00BB1FD2" w:rsidP="00BB1FD2">
      <w:pPr>
        <w:shd w:val="clear" w:color="auto" w:fill="BFBFBF" w:themeFill="background1" w:themeFillShade="BF"/>
        <w:rPr>
          <w:rFonts w:ascii="FrankRuehl" w:eastAsia="Calibri" w:hAnsi="FrankRuehl" w:cs="FrankRuehl"/>
          <w:rtl/>
        </w:rPr>
      </w:pPr>
    </w:p>
    <w:p w:rsidR="00F67785" w:rsidRDefault="00354A4D"/>
    <w:sectPr w:rsidR="00F677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D2"/>
    <w:rsid w:val="00026108"/>
    <w:rsid w:val="00026BA7"/>
    <w:rsid w:val="00034DE2"/>
    <w:rsid w:val="000502EA"/>
    <w:rsid w:val="00050AC4"/>
    <w:rsid w:val="00070FAD"/>
    <w:rsid w:val="00072318"/>
    <w:rsid w:val="0007379C"/>
    <w:rsid w:val="00075119"/>
    <w:rsid w:val="00080642"/>
    <w:rsid w:val="00095DAD"/>
    <w:rsid w:val="000A29D3"/>
    <w:rsid w:val="000A3BEC"/>
    <w:rsid w:val="000C4A84"/>
    <w:rsid w:val="000E3481"/>
    <w:rsid w:val="00115740"/>
    <w:rsid w:val="00140B2B"/>
    <w:rsid w:val="0014254A"/>
    <w:rsid w:val="00147AB2"/>
    <w:rsid w:val="001B1685"/>
    <w:rsid w:val="001E0235"/>
    <w:rsid w:val="001E4B85"/>
    <w:rsid w:val="00203A12"/>
    <w:rsid w:val="0023038D"/>
    <w:rsid w:val="0024581B"/>
    <w:rsid w:val="0026735A"/>
    <w:rsid w:val="0027694D"/>
    <w:rsid w:val="00291E29"/>
    <w:rsid w:val="00331301"/>
    <w:rsid w:val="003473E5"/>
    <w:rsid w:val="00352671"/>
    <w:rsid w:val="00354A4D"/>
    <w:rsid w:val="00356E80"/>
    <w:rsid w:val="003637A0"/>
    <w:rsid w:val="0037667F"/>
    <w:rsid w:val="003961FD"/>
    <w:rsid w:val="003E4984"/>
    <w:rsid w:val="00422DFB"/>
    <w:rsid w:val="00423B1C"/>
    <w:rsid w:val="00433338"/>
    <w:rsid w:val="00435880"/>
    <w:rsid w:val="004469FF"/>
    <w:rsid w:val="00447CF4"/>
    <w:rsid w:val="00475730"/>
    <w:rsid w:val="004957FF"/>
    <w:rsid w:val="004B22E8"/>
    <w:rsid w:val="0050063E"/>
    <w:rsid w:val="0051473E"/>
    <w:rsid w:val="00544DBA"/>
    <w:rsid w:val="005473F2"/>
    <w:rsid w:val="00556AC4"/>
    <w:rsid w:val="00570ED9"/>
    <w:rsid w:val="0059373A"/>
    <w:rsid w:val="005B30B3"/>
    <w:rsid w:val="005B64E7"/>
    <w:rsid w:val="005C2F4E"/>
    <w:rsid w:val="005D6AEF"/>
    <w:rsid w:val="005F2A9F"/>
    <w:rsid w:val="005F4FE2"/>
    <w:rsid w:val="005F776A"/>
    <w:rsid w:val="0061687A"/>
    <w:rsid w:val="00617B04"/>
    <w:rsid w:val="0062726B"/>
    <w:rsid w:val="006519C0"/>
    <w:rsid w:val="00676027"/>
    <w:rsid w:val="006A5313"/>
    <w:rsid w:val="006A6750"/>
    <w:rsid w:val="006C67AD"/>
    <w:rsid w:val="006D1116"/>
    <w:rsid w:val="006F4C05"/>
    <w:rsid w:val="007026A9"/>
    <w:rsid w:val="007349C9"/>
    <w:rsid w:val="00742553"/>
    <w:rsid w:val="00747BE9"/>
    <w:rsid w:val="007655C3"/>
    <w:rsid w:val="00766A70"/>
    <w:rsid w:val="007A4B56"/>
    <w:rsid w:val="007B0E13"/>
    <w:rsid w:val="007C0767"/>
    <w:rsid w:val="007D70A0"/>
    <w:rsid w:val="007F3ABA"/>
    <w:rsid w:val="007F62FF"/>
    <w:rsid w:val="00812DAE"/>
    <w:rsid w:val="00813297"/>
    <w:rsid w:val="00832D5B"/>
    <w:rsid w:val="00832DE2"/>
    <w:rsid w:val="008409C3"/>
    <w:rsid w:val="008553E0"/>
    <w:rsid w:val="00861F91"/>
    <w:rsid w:val="008654C9"/>
    <w:rsid w:val="008702CC"/>
    <w:rsid w:val="00874F5D"/>
    <w:rsid w:val="0087791D"/>
    <w:rsid w:val="00896348"/>
    <w:rsid w:val="008A041D"/>
    <w:rsid w:val="008A1D38"/>
    <w:rsid w:val="008B477F"/>
    <w:rsid w:val="008F06A2"/>
    <w:rsid w:val="008F15F5"/>
    <w:rsid w:val="008F55F4"/>
    <w:rsid w:val="00911DB7"/>
    <w:rsid w:val="00945FCB"/>
    <w:rsid w:val="00966D3C"/>
    <w:rsid w:val="0097360A"/>
    <w:rsid w:val="00986CBD"/>
    <w:rsid w:val="0099041D"/>
    <w:rsid w:val="009970A7"/>
    <w:rsid w:val="009A4E1A"/>
    <w:rsid w:val="009D3266"/>
    <w:rsid w:val="009F0606"/>
    <w:rsid w:val="00A01057"/>
    <w:rsid w:val="00A15F82"/>
    <w:rsid w:val="00A510B6"/>
    <w:rsid w:val="00A5196B"/>
    <w:rsid w:val="00A61362"/>
    <w:rsid w:val="00A725D7"/>
    <w:rsid w:val="00A97733"/>
    <w:rsid w:val="00AA4105"/>
    <w:rsid w:val="00AD050E"/>
    <w:rsid w:val="00AD0E4A"/>
    <w:rsid w:val="00B050F3"/>
    <w:rsid w:val="00B2302C"/>
    <w:rsid w:val="00B263DD"/>
    <w:rsid w:val="00B36973"/>
    <w:rsid w:val="00B41ABB"/>
    <w:rsid w:val="00B452A2"/>
    <w:rsid w:val="00B514AF"/>
    <w:rsid w:val="00B5698A"/>
    <w:rsid w:val="00B639C8"/>
    <w:rsid w:val="00B67773"/>
    <w:rsid w:val="00B858CC"/>
    <w:rsid w:val="00BB1FD2"/>
    <w:rsid w:val="00BD0EBD"/>
    <w:rsid w:val="00BF3417"/>
    <w:rsid w:val="00C26A8F"/>
    <w:rsid w:val="00C274BA"/>
    <w:rsid w:val="00C45EB1"/>
    <w:rsid w:val="00C82842"/>
    <w:rsid w:val="00CD6D29"/>
    <w:rsid w:val="00CF58ED"/>
    <w:rsid w:val="00D2132E"/>
    <w:rsid w:val="00D37BBA"/>
    <w:rsid w:val="00D55BEE"/>
    <w:rsid w:val="00D702AD"/>
    <w:rsid w:val="00D75848"/>
    <w:rsid w:val="00D90205"/>
    <w:rsid w:val="00D905A0"/>
    <w:rsid w:val="00DA7BEE"/>
    <w:rsid w:val="00DB27DB"/>
    <w:rsid w:val="00E42861"/>
    <w:rsid w:val="00E51D8F"/>
    <w:rsid w:val="00E65E47"/>
    <w:rsid w:val="00E93EEB"/>
    <w:rsid w:val="00EA28C0"/>
    <w:rsid w:val="00EE6C92"/>
    <w:rsid w:val="00EF04DE"/>
    <w:rsid w:val="00F00801"/>
    <w:rsid w:val="00F057F9"/>
    <w:rsid w:val="00F265E9"/>
    <w:rsid w:val="00F33083"/>
    <w:rsid w:val="00F33DA8"/>
    <w:rsid w:val="00F47242"/>
    <w:rsid w:val="00F61BEE"/>
    <w:rsid w:val="00F82B25"/>
    <w:rsid w:val="00F82F55"/>
    <w:rsid w:val="00F86202"/>
    <w:rsid w:val="00FC1237"/>
    <w:rsid w:val="00FC3AE2"/>
    <w:rsid w:val="00FC7661"/>
    <w:rsid w:val="00FF5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15AA1-D621-484D-A0E5-9299E2AB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D2"/>
    <w:pPr>
      <w:bidi/>
      <w:jc w:val="both"/>
    </w:pPr>
    <w:rPr>
      <w:rFonts w:asciiTheme="majorBidi" w:eastAsia="Times New Roman" w:hAnsiTheme="majorBidi" w:cs="David"/>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A4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dc:creator>
  <cp:keywords/>
  <dc:description/>
  <cp:lastModifiedBy>Ariel</cp:lastModifiedBy>
  <cp:revision>2</cp:revision>
  <dcterms:created xsi:type="dcterms:W3CDTF">2022-01-13T16:03:00Z</dcterms:created>
  <dcterms:modified xsi:type="dcterms:W3CDTF">2022-01-13T16:20:00Z</dcterms:modified>
</cp:coreProperties>
</file>